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D2" w:rsidRPr="00012500" w:rsidRDefault="006701D2" w:rsidP="003E71C1">
      <w:pPr>
        <w:numPr>
          <w:ilvl w:val="0"/>
          <w:numId w:val="1"/>
        </w:numPr>
        <w:tabs>
          <w:tab w:val="clear" w:pos="719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i/>
          <w:spacing w:val="-3"/>
        </w:rPr>
      </w:pPr>
      <w:bookmarkStart w:id="0" w:name="_GoBack"/>
      <w:bookmarkEnd w:id="0"/>
      <w:r w:rsidRPr="00012500">
        <w:rPr>
          <w:rFonts w:ascii="Arial" w:hAnsi="Arial" w:cs="Arial"/>
          <w:bCs/>
          <w:spacing w:val="-3"/>
        </w:rPr>
        <w:t xml:space="preserve">The Service Trades Council (STC) is established under the </w:t>
      </w:r>
      <w:r w:rsidRPr="00012500">
        <w:rPr>
          <w:rFonts w:ascii="Arial" w:hAnsi="Arial" w:cs="Arial"/>
          <w:bCs/>
          <w:i/>
          <w:spacing w:val="-3"/>
        </w:rPr>
        <w:t>Plumbing and Drainage Act 2002</w:t>
      </w:r>
      <w:r w:rsidRPr="00012500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 xml:space="preserve">(PDA) </w:t>
      </w:r>
      <w:r w:rsidRPr="00012500">
        <w:rPr>
          <w:rFonts w:ascii="Arial" w:hAnsi="Arial" w:cs="Arial"/>
          <w:bCs/>
          <w:spacing w:val="-3"/>
        </w:rPr>
        <w:t xml:space="preserve">to </w:t>
      </w:r>
      <w:r w:rsidRPr="00012500">
        <w:rPr>
          <w:rFonts w:ascii="Arial" w:hAnsi="Arial" w:cs="Arial"/>
        </w:rPr>
        <w:t>c</w:t>
      </w:r>
      <w:r>
        <w:rPr>
          <w:rFonts w:ascii="Arial" w:hAnsi="Arial" w:cs="Arial"/>
        </w:rPr>
        <w:t>onfer</w:t>
      </w:r>
      <w:r w:rsidRPr="00012500">
        <w:rPr>
          <w:rFonts w:ascii="Arial" w:hAnsi="Arial" w:cs="Arial"/>
        </w:rPr>
        <w:t xml:space="preserve"> on national policy development and implementation for t</w:t>
      </w:r>
      <w:r>
        <w:rPr>
          <w:rFonts w:ascii="Arial" w:hAnsi="Arial" w:cs="Arial"/>
        </w:rPr>
        <w:t xml:space="preserve">he plumbing and drainage trade; report to the Minister on </w:t>
      </w:r>
      <w:r w:rsidRPr="00012500">
        <w:rPr>
          <w:rFonts w:ascii="Arial" w:hAnsi="Arial" w:cs="Arial"/>
        </w:rPr>
        <w:t xml:space="preserve">any issue relating to plumbing and drainage referred to it by the Minister, or any issue relating to plumbing and drainage the STC considers the Minister should know about; and perform any other functions relating to plumbing and drainage given to the STC under the PDA. </w:t>
      </w:r>
    </w:p>
    <w:p w:rsidR="006701D2" w:rsidRPr="00012500" w:rsidRDefault="006701D2" w:rsidP="003E71C1">
      <w:pPr>
        <w:numPr>
          <w:ilvl w:val="0"/>
          <w:numId w:val="1"/>
        </w:numPr>
        <w:tabs>
          <w:tab w:val="clear" w:pos="719"/>
          <w:tab w:val="num" w:pos="360"/>
        </w:tabs>
        <w:spacing w:before="240" w:after="0" w:line="240" w:lineRule="auto"/>
        <w:ind w:left="357" w:hanging="357"/>
        <w:jc w:val="both"/>
        <w:rPr>
          <w:rFonts w:ascii="Arial" w:hAnsi="Arial" w:cs="Arial"/>
          <w:bCs/>
          <w:i/>
          <w:spacing w:val="-3"/>
        </w:rPr>
      </w:pPr>
      <w:r w:rsidRPr="00012500">
        <w:rPr>
          <w:rFonts w:ascii="Arial" w:hAnsi="Arial" w:cs="Arial"/>
        </w:rPr>
        <w:t xml:space="preserve">The membership of the STC consists of the Assistant Commissioner of the </w:t>
      </w:r>
      <w:r w:rsidRPr="004A4778">
        <w:rPr>
          <w:rFonts w:ascii="Arial" w:hAnsi="Arial" w:cs="Arial"/>
          <w:iCs/>
          <w:lang w:val="en-US"/>
        </w:rPr>
        <w:t>Queensland Building and Construction Commission</w:t>
      </w:r>
      <w:r w:rsidRPr="00012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12500">
        <w:rPr>
          <w:rFonts w:ascii="Arial" w:hAnsi="Arial" w:cs="Arial"/>
        </w:rPr>
        <w:t>QBCC</w:t>
      </w:r>
      <w:r>
        <w:rPr>
          <w:rFonts w:ascii="Arial" w:hAnsi="Arial" w:cs="Arial"/>
        </w:rPr>
        <w:t>)</w:t>
      </w:r>
      <w:r w:rsidRPr="00012500">
        <w:rPr>
          <w:rFonts w:ascii="Arial" w:hAnsi="Arial" w:cs="Arial"/>
        </w:rPr>
        <w:t xml:space="preserve"> and at least one representative of each of the following entities: 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department in which the PDA is administered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 xml:space="preserve">the department in which the </w:t>
      </w:r>
      <w:r w:rsidRPr="00012500">
        <w:rPr>
          <w:rFonts w:ascii="Arial" w:hAnsi="Arial" w:cs="Arial"/>
          <w:i/>
        </w:rPr>
        <w:t>Public Health Act 2005</w:t>
      </w:r>
      <w:r w:rsidRPr="00012500">
        <w:rPr>
          <w:rFonts w:ascii="Arial" w:hAnsi="Arial" w:cs="Arial"/>
        </w:rPr>
        <w:t xml:space="preserve"> is administered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 xml:space="preserve">the department in which the </w:t>
      </w:r>
      <w:r w:rsidRPr="00012500">
        <w:rPr>
          <w:rFonts w:ascii="Arial" w:hAnsi="Arial" w:cs="Arial"/>
          <w:i/>
        </w:rPr>
        <w:t>Further Education and Training Act 2014</w:t>
      </w:r>
      <w:r w:rsidRPr="00012500">
        <w:rPr>
          <w:rFonts w:ascii="Arial" w:hAnsi="Arial" w:cs="Arial"/>
        </w:rPr>
        <w:t xml:space="preserve"> is administered 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Air-Conditioning and Mechanical Contractors Association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Communications, Electrical and Plumbing Union, Plumbing Division, Queensland Branch</w:t>
      </w:r>
      <w:r w:rsidR="00311C9B">
        <w:rPr>
          <w:rFonts w:ascii="Arial" w:hAnsi="Arial" w:cs="Arial"/>
        </w:rPr>
        <w:t xml:space="preserve"> </w:t>
      </w:r>
      <w:r w:rsidR="00311C9B" w:rsidRPr="005A0E22">
        <w:rPr>
          <w:rFonts w:ascii="Arial" w:hAnsi="Arial" w:cs="Arial"/>
        </w:rPr>
        <w:t>(Plumbers Union Queensland)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Local Government Association of Queensland (Incorporated) (LGAQ)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Master Plumbers’ Association of Queensland (MPAQ)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the National Fire Industry Association (Incorporated) (NFIA)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>Institute of Plumbing Inspectors Queensland (Incorporated)</w:t>
      </w:r>
    </w:p>
    <w:p w:rsidR="006701D2" w:rsidRPr="00012500" w:rsidRDefault="006701D2" w:rsidP="006701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2500">
        <w:rPr>
          <w:rFonts w:ascii="Arial" w:hAnsi="Arial" w:cs="Arial"/>
        </w:rPr>
        <w:t xml:space="preserve">Consumer’s representative nominated by the department in which the </w:t>
      </w:r>
      <w:r w:rsidRPr="00012500">
        <w:rPr>
          <w:rFonts w:ascii="Arial" w:hAnsi="Arial" w:cs="Arial"/>
          <w:i/>
        </w:rPr>
        <w:t>Fair Trading Act 1989</w:t>
      </w:r>
      <w:r w:rsidRPr="00012500">
        <w:rPr>
          <w:rFonts w:ascii="Arial" w:hAnsi="Arial" w:cs="Arial"/>
        </w:rPr>
        <w:t xml:space="preserve"> is administered.</w:t>
      </w:r>
    </w:p>
    <w:p w:rsidR="006701D2" w:rsidRPr="00EA55EB" w:rsidRDefault="006701D2" w:rsidP="003E71C1">
      <w:pPr>
        <w:numPr>
          <w:ilvl w:val="0"/>
          <w:numId w:val="1"/>
        </w:numPr>
        <w:tabs>
          <w:tab w:val="clear" w:pos="719"/>
          <w:tab w:val="num" w:pos="360"/>
        </w:tabs>
        <w:spacing w:before="240" w:after="120" w:line="240" w:lineRule="auto"/>
        <w:ind w:left="357" w:hanging="357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u w:val="single"/>
        </w:rPr>
        <w:t xml:space="preserve">Cabinet </w:t>
      </w:r>
      <w:r w:rsidRPr="00EA55EB">
        <w:rPr>
          <w:rFonts w:ascii="Arial" w:hAnsi="Arial" w:cs="Arial"/>
          <w:u w:val="single"/>
        </w:rPr>
        <w:t>endorsed</w:t>
      </w:r>
      <w:r w:rsidRPr="00EA55EB">
        <w:rPr>
          <w:rFonts w:ascii="Arial" w:hAnsi="Arial" w:cs="Arial"/>
        </w:rPr>
        <w:t xml:space="preserve"> </w:t>
      </w:r>
      <w:r w:rsidR="003E71C1">
        <w:rPr>
          <w:rFonts w:ascii="Arial" w:hAnsi="Arial" w:cs="Arial"/>
        </w:rPr>
        <w:t>that the following</w:t>
      </w:r>
      <w:r w:rsidRPr="00EA55EB">
        <w:rPr>
          <w:rFonts w:ascii="Arial" w:hAnsi="Arial" w:cs="Arial"/>
        </w:rPr>
        <w:t xml:space="preserve"> </w:t>
      </w:r>
      <w:r w:rsidR="008E2CC3">
        <w:rPr>
          <w:rFonts w:ascii="Arial" w:hAnsi="Arial" w:cs="Arial"/>
        </w:rPr>
        <w:t xml:space="preserve">persons </w:t>
      </w:r>
      <w:r w:rsidRPr="00EA55EB">
        <w:rPr>
          <w:rFonts w:ascii="Arial" w:hAnsi="Arial" w:cs="Arial"/>
        </w:rPr>
        <w:t xml:space="preserve">be recommended to the Governor in Council for appointment as members of the </w:t>
      </w:r>
      <w:r w:rsidR="008E2CC3" w:rsidRPr="00012500">
        <w:rPr>
          <w:rFonts w:ascii="Arial" w:hAnsi="Arial" w:cs="Arial"/>
          <w:bCs/>
          <w:spacing w:val="-3"/>
        </w:rPr>
        <w:t xml:space="preserve">Service Trades Council </w:t>
      </w:r>
      <w:r w:rsidRPr="00EA55EB">
        <w:rPr>
          <w:rFonts w:ascii="Arial" w:hAnsi="Arial" w:cs="Arial"/>
        </w:rPr>
        <w:t>for a term of four years from 1 July 2016 to 30 June 2020</w:t>
      </w:r>
      <w:r>
        <w:rPr>
          <w:rFonts w:ascii="Arial" w:hAnsi="Arial" w:cs="Arial"/>
        </w:rPr>
        <w:t>.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819"/>
      </w:tblGrid>
      <w:tr w:rsidR="006701D2" w:rsidRPr="00B8336A" w:rsidTr="00311C9B">
        <w:trPr>
          <w:tblHeader/>
        </w:trPr>
        <w:tc>
          <w:tcPr>
            <w:tcW w:w="4710" w:type="dxa"/>
            <w:shd w:val="clear" w:color="auto" w:fill="D9D9D9"/>
          </w:tcPr>
          <w:p w:rsidR="006701D2" w:rsidRPr="005A0E22" w:rsidRDefault="006701D2" w:rsidP="003E71C1">
            <w:pPr>
              <w:pStyle w:val="ListParagraph"/>
              <w:ind w:left="0"/>
              <w:rPr>
                <w:rFonts w:ascii="Arial" w:hAnsi="Arial" w:cs="Arial"/>
                <w:b/>
                <w:color w:val="000000"/>
              </w:rPr>
            </w:pPr>
            <w:r w:rsidRPr="005A0E22">
              <w:rPr>
                <w:rFonts w:ascii="Arial" w:hAnsi="Arial" w:cs="Arial"/>
                <w:b/>
                <w:color w:val="000000"/>
              </w:rPr>
              <w:t>Members</w:t>
            </w:r>
          </w:p>
        </w:tc>
        <w:tc>
          <w:tcPr>
            <w:tcW w:w="4819" w:type="dxa"/>
            <w:shd w:val="clear" w:color="auto" w:fill="D9D9D9"/>
          </w:tcPr>
          <w:p w:rsidR="006701D2" w:rsidRPr="005A0E22" w:rsidRDefault="006701D2" w:rsidP="003E71C1">
            <w:pPr>
              <w:pStyle w:val="ListParagraph"/>
              <w:ind w:left="0"/>
              <w:rPr>
                <w:rFonts w:ascii="Arial" w:hAnsi="Arial" w:cs="Arial"/>
                <w:b/>
                <w:color w:val="000000"/>
              </w:rPr>
            </w:pPr>
            <w:r w:rsidRPr="005A0E22">
              <w:rPr>
                <w:rFonts w:ascii="Arial" w:hAnsi="Arial" w:cs="Arial"/>
                <w:b/>
                <w:color w:val="000000"/>
              </w:rPr>
              <w:t>Deputy Members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3E71C1" w:rsidRDefault="006701D2" w:rsidP="00311C9B">
            <w:pPr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hAnsi="Arial" w:cs="Arial"/>
              </w:rPr>
            </w:pPr>
            <w:r w:rsidRPr="003E71C1">
              <w:rPr>
                <w:rFonts w:ascii="Arial" w:hAnsi="Arial" w:cs="Arial"/>
              </w:rPr>
              <w:t>Penny Cornah (Chairperson)</w:t>
            </w:r>
            <w:r w:rsidR="00311C9B">
              <w:rPr>
                <w:rFonts w:ascii="Arial" w:hAnsi="Arial" w:cs="Arial"/>
              </w:rPr>
              <w:t xml:space="preserve"> </w:t>
            </w:r>
            <w:r w:rsidRPr="003E71C1">
              <w:rPr>
                <w:rFonts w:ascii="Arial" w:hAnsi="Arial" w:cs="Arial"/>
              </w:rPr>
              <w:t>(</w:t>
            </w:r>
            <w:r w:rsidR="003E71C1">
              <w:rPr>
                <w:rFonts w:ascii="Arial" w:hAnsi="Arial" w:cs="Arial"/>
              </w:rPr>
              <w:t>MPAQ</w:t>
            </w:r>
            <w:r w:rsidRPr="003E71C1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11C9B">
            <w:pPr>
              <w:numPr>
                <w:ilvl w:val="0"/>
                <w:numId w:val="8"/>
              </w:numPr>
              <w:spacing w:after="0" w:line="240" w:lineRule="auto"/>
              <w:ind w:left="307" w:hanging="331"/>
              <w:rPr>
                <w:rFonts w:ascii="Arial" w:hAnsi="Arial" w:cs="Arial"/>
              </w:rPr>
            </w:pPr>
            <w:r w:rsidRPr="005A0E22">
              <w:rPr>
                <w:rFonts w:ascii="Arial" w:hAnsi="Arial" w:cs="Arial"/>
              </w:rPr>
              <w:t>William (Bill) Watson</w:t>
            </w:r>
            <w:r w:rsidR="00311C9B">
              <w:rPr>
                <w:rFonts w:ascii="Arial" w:hAnsi="Arial" w:cs="Arial"/>
              </w:rPr>
              <w:t xml:space="preserve"> </w:t>
            </w:r>
            <w:r w:rsidRPr="005A0E22">
              <w:rPr>
                <w:rFonts w:ascii="Arial" w:hAnsi="Arial" w:cs="Arial"/>
              </w:rPr>
              <w:t>(</w:t>
            </w:r>
            <w:r w:rsidR="003E71C1">
              <w:rPr>
                <w:rFonts w:ascii="Arial" w:hAnsi="Arial" w:cs="Arial"/>
              </w:rPr>
              <w:t>MPAQ</w:t>
            </w:r>
            <w:r w:rsidRPr="005A0E22">
              <w:rPr>
                <w:rFonts w:ascii="Arial" w:hAnsi="Arial" w:cs="Arial"/>
              </w:rPr>
              <w:t>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3E71C1" w:rsidRDefault="006701D2" w:rsidP="003E71C1">
            <w:pPr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hAnsi="Arial" w:cs="Arial"/>
              </w:rPr>
            </w:pPr>
            <w:r w:rsidRPr="003E71C1">
              <w:rPr>
                <w:rFonts w:ascii="Arial" w:hAnsi="Arial" w:cs="Arial"/>
              </w:rPr>
              <w:t>Janet Cumming (Deputy Chairperson)</w:t>
            </w:r>
            <w:r w:rsidR="00311C9B">
              <w:rPr>
                <w:rFonts w:ascii="Arial" w:hAnsi="Arial" w:cs="Arial"/>
              </w:rPr>
              <w:t xml:space="preserve"> </w:t>
            </w:r>
          </w:p>
          <w:p w:rsidR="006701D2" w:rsidRPr="003E71C1" w:rsidRDefault="006701D2" w:rsidP="003E71C1">
            <w:pPr>
              <w:spacing w:after="0"/>
              <w:ind w:left="349"/>
              <w:rPr>
                <w:rFonts w:ascii="Arial" w:hAnsi="Arial" w:cs="Arial"/>
              </w:rPr>
            </w:pPr>
            <w:r w:rsidRPr="003E71C1">
              <w:rPr>
                <w:rFonts w:ascii="Arial" w:hAnsi="Arial" w:cs="Arial"/>
              </w:rPr>
              <w:t xml:space="preserve">(Department administering the </w:t>
            </w:r>
            <w:r w:rsidRPr="003E71C1">
              <w:rPr>
                <w:rFonts w:ascii="Arial" w:hAnsi="Arial" w:cs="Arial"/>
                <w:i/>
              </w:rPr>
              <w:t>Public Health Act 2005)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11C9B">
            <w:pPr>
              <w:numPr>
                <w:ilvl w:val="0"/>
                <w:numId w:val="8"/>
              </w:numPr>
              <w:spacing w:after="0" w:line="240" w:lineRule="auto"/>
              <w:ind w:left="307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Jackson</w:t>
            </w:r>
            <w:r w:rsidR="00311C9B">
              <w:rPr>
                <w:rFonts w:ascii="Arial" w:hAnsi="Arial" w:cs="Arial"/>
              </w:rPr>
              <w:t xml:space="preserve"> </w:t>
            </w:r>
            <w:r w:rsidRPr="005A0E22">
              <w:rPr>
                <w:rFonts w:ascii="Arial" w:hAnsi="Arial" w:cs="Arial"/>
              </w:rPr>
              <w:t xml:space="preserve">(Department administering the </w:t>
            </w:r>
            <w:r w:rsidRPr="005A0E22">
              <w:rPr>
                <w:rFonts w:ascii="Arial" w:hAnsi="Arial" w:cs="Arial"/>
                <w:i/>
              </w:rPr>
              <w:t>Public Health Act 2005)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hAnsi="Arial" w:cs="Arial"/>
              </w:rPr>
            </w:pPr>
            <w:r w:rsidRPr="005A0E22">
              <w:rPr>
                <w:rFonts w:ascii="Arial" w:hAnsi="Arial" w:cs="Arial"/>
              </w:rPr>
              <w:t xml:space="preserve">Sharon Simmers (Consumer’s representation – Department </w:t>
            </w:r>
            <w:r w:rsidR="00450766">
              <w:rPr>
                <w:rFonts w:ascii="Arial" w:hAnsi="Arial" w:cs="Arial"/>
              </w:rPr>
              <w:t xml:space="preserve">administering the </w:t>
            </w:r>
            <w:r w:rsidR="00450766" w:rsidRPr="00450766">
              <w:rPr>
                <w:rFonts w:ascii="Arial" w:hAnsi="Arial" w:cs="Arial"/>
                <w:i/>
              </w:rPr>
              <w:t>Fair Trading Act 1989</w:t>
            </w:r>
            <w:r w:rsidRPr="005A0E22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11C9B">
            <w:pPr>
              <w:numPr>
                <w:ilvl w:val="0"/>
                <w:numId w:val="8"/>
              </w:numPr>
              <w:spacing w:after="0" w:line="240" w:lineRule="auto"/>
              <w:ind w:left="307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McK</w:t>
            </w:r>
            <w:r w:rsidRPr="005A0E22">
              <w:rPr>
                <w:rFonts w:ascii="Arial" w:hAnsi="Arial" w:cs="Arial"/>
              </w:rPr>
              <w:t xml:space="preserve">enzie </w:t>
            </w:r>
            <w:r w:rsidR="00450766" w:rsidRPr="005A0E22">
              <w:rPr>
                <w:rFonts w:ascii="Arial" w:hAnsi="Arial" w:cs="Arial"/>
              </w:rPr>
              <w:t xml:space="preserve">(Consumer’s representation – Department </w:t>
            </w:r>
            <w:r w:rsidR="00450766">
              <w:rPr>
                <w:rFonts w:ascii="Arial" w:hAnsi="Arial" w:cs="Arial"/>
              </w:rPr>
              <w:t xml:space="preserve">administering the </w:t>
            </w:r>
            <w:r w:rsidR="00450766" w:rsidRPr="00450766">
              <w:rPr>
                <w:rFonts w:ascii="Arial" w:hAnsi="Arial" w:cs="Arial"/>
                <w:i/>
              </w:rPr>
              <w:t>Fair Trading Act 1989</w:t>
            </w:r>
            <w:r w:rsidR="00450766" w:rsidRPr="005A0E22">
              <w:rPr>
                <w:rFonts w:ascii="Arial" w:hAnsi="Arial" w:cs="Arial"/>
              </w:rPr>
              <w:t>)</w:t>
            </w:r>
          </w:p>
        </w:tc>
      </w:tr>
      <w:tr w:rsidR="006701D2" w:rsidRPr="00B8336A" w:rsidTr="00311C9B">
        <w:trPr>
          <w:trHeight w:val="811"/>
        </w:trPr>
        <w:tc>
          <w:tcPr>
            <w:tcW w:w="4710" w:type="dxa"/>
            <w:shd w:val="clear" w:color="auto" w:fill="auto"/>
          </w:tcPr>
          <w:p w:rsidR="006701D2" w:rsidRPr="005A0E22" w:rsidRDefault="006701D2" w:rsidP="008E2C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Catherine McCahon (Department administering the</w:t>
            </w:r>
            <w:r w:rsidR="008E2CC3">
              <w:rPr>
                <w:rFonts w:ascii="Arial" w:hAnsi="Arial" w:cs="Arial"/>
              </w:rPr>
              <w:t xml:space="preserve"> PDA</w:t>
            </w:r>
            <w:r w:rsidRPr="005A0E2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8E2CC3">
            <w:pPr>
              <w:pStyle w:val="ListParagraph"/>
              <w:numPr>
                <w:ilvl w:val="0"/>
                <w:numId w:val="4"/>
              </w:numPr>
              <w:ind w:left="332" w:hanging="359"/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Lindsay Walker (Department administering the</w:t>
            </w:r>
            <w:r w:rsidR="008E2CC3">
              <w:rPr>
                <w:rFonts w:ascii="Arial" w:hAnsi="Arial" w:cs="Arial"/>
              </w:rPr>
              <w:t xml:space="preserve"> PDA</w:t>
            </w:r>
            <w:r w:rsidRPr="005A0E22">
              <w:rPr>
                <w:rFonts w:ascii="Arial" w:hAnsi="Arial" w:cs="Arial"/>
              </w:rPr>
              <w:t>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Bradley Hodgkinson (L</w:t>
            </w:r>
            <w:r w:rsidR="00311C9B">
              <w:rPr>
                <w:rFonts w:ascii="Arial" w:hAnsi="Arial" w:cs="Arial"/>
              </w:rPr>
              <w:t>GAQ</w:t>
            </w:r>
            <w:r w:rsidRPr="005A0E22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701D2" w:rsidRPr="00B47FFE" w:rsidRDefault="006701D2" w:rsidP="00311C9B">
            <w:pPr>
              <w:pStyle w:val="ListParagraph"/>
              <w:numPr>
                <w:ilvl w:val="0"/>
                <w:numId w:val="4"/>
              </w:numPr>
              <w:ind w:left="332" w:hanging="359"/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A</w:t>
            </w:r>
            <w:r w:rsidR="00311C9B">
              <w:rPr>
                <w:rFonts w:ascii="Arial" w:hAnsi="Arial" w:cs="Arial"/>
              </w:rPr>
              <w:t xml:space="preserve">llan Hazell </w:t>
            </w:r>
            <w:r w:rsidRPr="00B47FFE">
              <w:rPr>
                <w:rFonts w:ascii="Arial" w:hAnsi="Arial" w:cs="Arial"/>
              </w:rPr>
              <w:t>(L</w:t>
            </w:r>
            <w:r w:rsidR="00311C9B">
              <w:rPr>
                <w:rFonts w:ascii="Arial" w:hAnsi="Arial" w:cs="Arial"/>
              </w:rPr>
              <w:t>GAQ</w:t>
            </w:r>
            <w:r w:rsidRPr="00B47FFE">
              <w:rPr>
                <w:rFonts w:ascii="Arial" w:hAnsi="Arial" w:cs="Arial"/>
              </w:rPr>
              <w:t>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numPr>
                <w:ilvl w:val="0"/>
                <w:numId w:val="4"/>
              </w:numPr>
              <w:spacing w:after="0" w:line="240" w:lineRule="auto"/>
              <w:ind w:left="349" w:hanging="349"/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Gary O’Halloran (Plumbers Union Queensland)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4"/>
              </w:numPr>
              <w:ind w:left="399" w:hanging="426"/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Michael Wiech</w:t>
            </w:r>
            <w:r>
              <w:rPr>
                <w:rFonts w:ascii="Arial" w:hAnsi="Arial" w:cs="Arial"/>
              </w:rPr>
              <w:t xml:space="preserve"> </w:t>
            </w:r>
            <w:r w:rsidRPr="005A0E22">
              <w:rPr>
                <w:rFonts w:ascii="Arial" w:hAnsi="Arial" w:cs="Arial"/>
              </w:rPr>
              <w:t>(Plumbers Union Queensland)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Andrew Hickman (</w:t>
            </w:r>
            <w:r w:rsidRPr="005A0E22">
              <w:rPr>
                <w:rFonts w:ascii="Arial" w:hAnsi="Arial" w:cs="Arial"/>
                <w:szCs w:val="24"/>
              </w:rPr>
              <w:t>NFIA)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4"/>
              </w:numPr>
              <w:ind w:left="399" w:hanging="426"/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Wayne Smith</w:t>
            </w:r>
            <w:r>
              <w:rPr>
                <w:rFonts w:ascii="Arial" w:hAnsi="Arial" w:cs="Arial"/>
              </w:rPr>
              <w:t xml:space="preserve"> </w:t>
            </w:r>
            <w:r w:rsidRPr="005A0E22">
              <w:rPr>
                <w:rFonts w:ascii="Arial" w:hAnsi="Arial" w:cs="Arial"/>
              </w:rPr>
              <w:t>(</w:t>
            </w:r>
            <w:r w:rsidRPr="005A0E22">
              <w:rPr>
                <w:rFonts w:ascii="Arial" w:hAnsi="Arial" w:cs="Arial"/>
                <w:szCs w:val="24"/>
              </w:rPr>
              <w:t>NFIA)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 xml:space="preserve">Linda Bradley (Department administering the </w:t>
            </w:r>
            <w:r w:rsidRPr="005A0E22">
              <w:rPr>
                <w:rFonts w:ascii="Arial" w:hAnsi="Arial" w:cs="Arial"/>
                <w:i/>
              </w:rPr>
              <w:t>Further Education and Training Act 2014)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E71C1">
            <w:pPr>
              <w:pStyle w:val="ListParagraph"/>
              <w:ind w:left="399"/>
              <w:rPr>
                <w:rFonts w:ascii="Arial" w:hAnsi="Arial" w:cs="Arial"/>
                <w:color w:val="000000"/>
              </w:rPr>
            </w:pP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</w:rPr>
              <w:t>Graham MacKrill</w:t>
            </w:r>
            <w:r w:rsidRPr="005A0E22">
              <w:rPr>
                <w:rFonts w:ascii="Arial" w:hAnsi="Arial" w:cs="Arial"/>
                <w:b/>
              </w:rPr>
              <w:t xml:space="preserve"> </w:t>
            </w:r>
            <w:r w:rsidRPr="005A0E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Air-</w:t>
            </w:r>
            <w:r w:rsidRPr="005A0E22">
              <w:rPr>
                <w:rFonts w:ascii="Arial" w:hAnsi="Arial" w:cs="Arial"/>
              </w:rPr>
              <w:t>Conditioning and Mechanical Contractors Association)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E71C1">
            <w:pPr>
              <w:pStyle w:val="ListParagraph"/>
              <w:ind w:left="399"/>
              <w:rPr>
                <w:rFonts w:ascii="Arial" w:hAnsi="Arial" w:cs="Arial"/>
                <w:color w:val="000000"/>
              </w:rPr>
            </w:pP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5A0E22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5A0E22">
              <w:rPr>
                <w:rFonts w:ascii="Arial" w:hAnsi="Arial" w:cs="Arial"/>
                <w:color w:val="000000"/>
              </w:rPr>
              <w:lastRenderedPageBreak/>
              <w:t xml:space="preserve">Assistant Commissioner </w:t>
            </w:r>
            <w:r>
              <w:rPr>
                <w:rFonts w:ascii="Arial" w:hAnsi="Arial" w:cs="Arial"/>
                <w:color w:val="000000"/>
              </w:rPr>
              <w:t>(</w:t>
            </w:r>
            <w:r w:rsidR="008E2CC3" w:rsidRPr="00012500">
              <w:rPr>
                <w:rFonts w:ascii="Arial" w:hAnsi="Arial" w:cs="Arial"/>
              </w:rPr>
              <w:t>QBCC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6701D2" w:rsidRPr="005A0E22" w:rsidRDefault="006701D2" w:rsidP="003E71C1">
            <w:pPr>
              <w:pStyle w:val="ListParagraph"/>
              <w:ind w:left="399"/>
              <w:rPr>
                <w:rFonts w:ascii="Arial" w:hAnsi="Arial" w:cs="Arial"/>
                <w:color w:val="000000"/>
              </w:rPr>
            </w:pP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B660DF" w:rsidRDefault="006701D2" w:rsidP="00311C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B660DF">
              <w:rPr>
                <w:rFonts w:ascii="Arial" w:hAnsi="Arial" w:cs="Arial"/>
              </w:rPr>
              <w:t>Ray Smith (Institute of Plumbers Inspectors Qld Inc.)</w:t>
            </w:r>
          </w:p>
        </w:tc>
        <w:tc>
          <w:tcPr>
            <w:tcW w:w="4819" w:type="dxa"/>
            <w:shd w:val="clear" w:color="auto" w:fill="auto"/>
          </w:tcPr>
          <w:p w:rsidR="006701D2" w:rsidRPr="00B660DF" w:rsidRDefault="006701D2" w:rsidP="00311C9B">
            <w:pPr>
              <w:pStyle w:val="ListParagraph"/>
              <w:numPr>
                <w:ilvl w:val="0"/>
                <w:numId w:val="4"/>
              </w:numPr>
              <w:ind w:left="399" w:hanging="426"/>
              <w:rPr>
                <w:rFonts w:ascii="Arial" w:hAnsi="Arial" w:cs="Arial"/>
                <w:color w:val="000000"/>
              </w:rPr>
            </w:pPr>
            <w:r w:rsidRPr="00B660DF">
              <w:rPr>
                <w:rFonts w:ascii="Arial" w:hAnsi="Arial" w:cs="Arial"/>
              </w:rPr>
              <w:t>Eddie Denman (Institute of Plumbers Inspectors Qld Inc.)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B660DF" w:rsidRDefault="006701D2" w:rsidP="003E71C1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6701D2" w:rsidRPr="00B660DF" w:rsidRDefault="006701D2" w:rsidP="00311C9B">
            <w:pPr>
              <w:pStyle w:val="ListParagraph"/>
              <w:numPr>
                <w:ilvl w:val="0"/>
                <w:numId w:val="4"/>
              </w:numPr>
              <w:ind w:left="399" w:hanging="426"/>
              <w:rPr>
                <w:rFonts w:ascii="Arial" w:hAnsi="Arial" w:cs="Arial"/>
                <w:color w:val="000000"/>
              </w:rPr>
            </w:pPr>
            <w:r w:rsidRPr="00B660DF">
              <w:rPr>
                <w:rFonts w:ascii="Arial" w:hAnsi="Arial" w:cs="Arial"/>
              </w:rPr>
              <w:t>Stephen Je</w:t>
            </w:r>
            <w:r>
              <w:rPr>
                <w:rFonts w:ascii="Arial" w:hAnsi="Arial" w:cs="Arial"/>
              </w:rPr>
              <w:t>n</w:t>
            </w:r>
            <w:r w:rsidRPr="00B660DF">
              <w:rPr>
                <w:rFonts w:ascii="Arial" w:hAnsi="Arial" w:cs="Arial"/>
              </w:rPr>
              <w:t>nison (Institute of Plumbers Inspectors Qld Inc.)</w:t>
            </w:r>
          </w:p>
        </w:tc>
      </w:tr>
      <w:tr w:rsidR="006701D2" w:rsidRPr="00B8336A" w:rsidTr="00311C9B">
        <w:tc>
          <w:tcPr>
            <w:tcW w:w="4710" w:type="dxa"/>
            <w:shd w:val="clear" w:color="auto" w:fill="auto"/>
          </w:tcPr>
          <w:p w:rsidR="006701D2" w:rsidRPr="00B660DF" w:rsidRDefault="006701D2" w:rsidP="003E71C1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6701D2" w:rsidRPr="00B660DF" w:rsidRDefault="006701D2" w:rsidP="00311C9B">
            <w:pPr>
              <w:pStyle w:val="ListParagraph"/>
              <w:numPr>
                <w:ilvl w:val="0"/>
                <w:numId w:val="4"/>
              </w:numPr>
              <w:ind w:left="399" w:hanging="426"/>
              <w:rPr>
                <w:rFonts w:ascii="Arial" w:hAnsi="Arial" w:cs="Arial"/>
                <w:color w:val="000000"/>
              </w:rPr>
            </w:pPr>
            <w:r w:rsidRPr="00B660DF">
              <w:rPr>
                <w:rFonts w:ascii="Arial" w:hAnsi="Arial" w:cs="Arial"/>
              </w:rPr>
              <w:t>Tracy Barkham (Institute of Plumbers Inspectors Qld Inc.)</w:t>
            </w:r>
          </w:p>
        </w:tc>
      </w:tr>
    </w:tbl>
    <w:p w:rsidR="006701D2" w:rsidRPr="00C07656" w:rsidRDefault="006701D2" w:rsidP="00311C9B">
      <w:pPr>
        <w:keepNext/>
        <w:numPr>
          <w:ilvl w:val="0"/>
          <w:numId w:val="1"/>
        </w:numPr>
        <w:tabs>
          <w:tab w:val="clear" w:pos="719"/>
          <w:tab w:val="num" w:pos="360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Attachment</w:t>
      </w:r>
      <w:r w:rsidR="00311C9B">
        <w:rPr>
          <w:rFonts w:ascii="Arial" w:hAnsi="Arial" w:cs="Arial"/>
          <w:i/>
          <w:u w:val="single"/>
        </w:rPr>
        <w:t>s</w:t>
      </w:r>
    </w:p>
    <w:p w:rsidR="004C0DA4" w:rsidRPr="00ED733E" w:rsidRDefault="006701D2" w:rsidP="00ED733E">
      <w:pPr>
        <w:numPr>
          <w:ilvl w:val="0"/>
          <w:numId w:val="5"/>
        </w:numPr>
        <w:tabs>
          <w:tab w:val="num" w:pos="280"/>
        </w:tabs>
        <w:spacing w:before="120" w:after="0" w:line="240" w:lineRule="auto"/>
        <w:ind w:left="811"/>
        <w:jc w:val="both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4C0DA4" w:rsidRPr="00ED733E" w:rsidSect="00311C9B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EB" w:rsidRDefault="00EF59EB" w:rsidP="00ED733E">
      <w:pPr>
        <w:spacing w:after="0" w:line="240" w:lineRule="auto"/>
      </w:pPr>
      <w:r>
        <w:separator/>
      </w:r>
    </w:p>
  </w:endnote>
  <w:endnote w:type="continuationSeparator" w:id="0">
    <w:p w:rsidR="00EF59EB" w:rsidRDefault="00EF59EB" w:rsidP="00E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EB" w:rsidRDefault="00EF59EB" w:rsidP="00ED733E">
      <w:pPr>
        <w:spacing w:after="0" w:line="240" w:lineRule="auto"/>
      </w:pPr>
      <w:r>
        <w:separator/>
      </w:r>
    </w:p>
  </w:footnote>
  <w:footnote w:type="continuationSeparator" w:id="0">
    <w:p w:rsidR="00EF59EB" w:rsidRDefault="00EF59EB" w:rsidP="00ED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9B" w:rsidRPr="00311C9B" w:rsidRDefault="00311C9B">
    <w:pPr>
      <w:pStyle w:val="Header"/>
      <w:jc w:val="center"/>
      <w:rPr>
        <w:rFonts w:ascii="Arial" w:hAnsi="Arial" w:cs="Arial"/>
        <w:sz w:val="22"/>
      </w:rPr>
    </w:pPr>
    <w:r w:rsidRPr="00311C9B">
      <w:rPr>
        <w:rFonts w:ascii="Arial" w:hAnsi="Arial" w:cs="Arial"/>
        <w:sz w:val="22"/>
      </w:rPr>
      <w:fldChar w:fldCharType="begin"/>
    </w:r>
    <w:r w:rsidRPr="00311C9B">
      <w:rPr>
        <w:rFonts w:ascii="Arial" w:hAnsi="Arial" w:cs="Arial"/>
        <w:sz w:val="22"/>
      </w:rPr>
      <w:instrText xml:space="preserve"> PAGE   \* MERGEFORMAT </w:instrText>
    </w:r>
    <w:r w:rsidRPr="00311C9B">
      <w:rPr>
        <w:rFonts w:ascii="Arial" w:hAnsi="Arial" w:cs="Arial"/>
        <w:sz w:val="22"/>
      </w:rPr>
      <w:fldChar w:fldCharType="separate"/>
    </w:r>
    <w:r w:rsidR="0063523E">
      <w:rPr>
        <w:rFonts w:ascii="Arial" w:hAnsi="Arial" w:cs="Arial"/>
        <w:noProof/>
        <w:sz w:val="22"/>
      </w:rPr>
      <w:t>2</w:t>
    </w:r>
    <w:r w:rsidRPr="00311C9B">
      <w:rPr>
        <w:rFonts w:ascii="Arial" w:hAnsi="Arial" w:cs="Arial"/>
        <w:noProof/>
        <w:sz w:val="22"/>
      </w:rPr>
      <w:fldChar w:fldCharType="end"/>
    </w:r>
  </w:p>
  <w:p w:rsidR="00ED733E" w:rsidRPr="00311C9B" w:rsidRDefault="00ED733E" w:rsidP="00311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9B" w:rsidRPr="00D75134" w:rsidRDefault="00311C9B" w:rsidP="00311C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311C9B" w:rsidRPr="00D75134" w:rsidRDefault="00311C9B" w:rsidP="00311C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11C9B" w:rsidRPr="001E209B" w:rsidRDefault="00311C9B" w:rsidP="00311C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2016</w:t>
    </w:r>
  </w:p>
  <w:p w:rsidR="00311C9B" w:rsidRDefault="00311C9B" w:rsidP="00311C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Appointments of the Chairperson, Deputy Chairperson, members and deputy members to the Service Trades Council</w:t>
    </w:r>
  </w:p>
  <w:p w:rsidR="00311C9B" w:rsidRDefault="00311C9B" w:rsidP="00311C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311C9B" w:rsidRDefault="00311C9B" w:rsidP="00311C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1BC6DF8C"/>
    <w:lvl w:ilvl="0" w:tplc="B856728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4"/>
    <w:rsid w:val="000065C3"/>
    <w:rsid w:val="00025E0A"/>
    <w:rsid w:val="00026B3E"/>
    <w:rsid w:val="00080AD4"/>
    <w:rsid w:val="00144CEC"/>
    <w:rsid w:val="00162A8C"/>
    <w:rsid w:val="001A68CC"/>
    <w:rsid w:val="00265281"/>
    <w:rsid w:val="00285C8D"/>
    <w:rsid w:val="00286FD7"/>
    <w:rsid w:val="002F0683"/>
    <w:rsid w:val="00311C9B"/>
    <w:rsid w:val="00351409"/>
    <w:rsid w:val="00380D78"/>
    <w:rsid w:val="003A746B"/>
    <w:rsid w:val="003E0F2F"/>
    <w:rsid w:val="003E71C1"/>
    <w:rsid w:val="003F0531"/>
    <w:rsid w:val="00450766"/>
    <w:rsid w:val="004C0DA4"/>
    <w:rsid w:val="00527087"/>
    <w:rsid w:val="0055623E"/>
    <w:rsid w:val="005935B5"/>
    <w:rsid w:val="005D047A"/>
    <w:rsid w:val="0063523E"/>
    <w:rsid w:val="006701D2"/>
    <w:rsid w:val="00690A63"/>
    <w:rsid w:val="006F6F08"/>
    <w:rsid w:val="007D354D"/>
    <w:rsid w:val="008331D8"/>
    <w:rsid w:val="008E2CC3"/>
    <w:rsid w:val="00961632"/>
    <w:rsid w:val="009A5C74"/>
    <w:rsid w:val="009B539F"/>
    <w:rsid w:val="009F648C"/>
    <w:rsid w:val="00AA7F6F"/>
    <w:rsid w:val="00AC24E7"/>
    <w:rsid w:val="00AF5E55"/>
    <w:rsid w:val="00B15477"/>
    <w:rsid w:val="00BC20DD"/>
    <w:rsid w:val="00CB2CD8"/>
    <w:rsid w:val="00D15532"/>
    <w:rsid w:val="00DA0F0C"/>
    <w:rsid w:val="00DE2BD7"/>
    <w:rsid w:val="00E23E9E"/>
    <w:rsid w:val="00E35289"/>
    <w:rsid w:val="00E47ED6"/>
    <w:rsid w:val="00E53DA0"/>
    <w:rsid w:val="00E856C3"/>
    <w:rsid w:val="00EB1DD4"/>
    <w:rsid w:val="00ED733E"/>
    <w:rsid w:val="00EE47C1"/>
    <w:rsid w:val="00EF59EB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uiPriority w:val="99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7F6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73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73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2418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2802</CharactersWithSpaces>
  <SharedDoc>false</SharedDoc>
  <HyperlinkBase>https://www.cabinet.qld.gov.au/documents/2016/Jun/ApptSTC/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2016-07-18T07:11:00Z</cp:lastPrinted>
  <dcterms:created xsi:type="dcterms:W3CDTF">2017-10-25T01:49:00Z</dcterms:created>
  <dcterms:modified xsi:type="dcterms:W3CDTF">2018-03-06T01:36:00Z</dcterms:modified>
  <cp:category>Significant_Appointments,Building_and_Construction</cp:category>
</cp:coreProperties>
</file>